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A" w:rsidRDefault="00E937E2" w:rsidP="004969A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E74C61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еморандум по итогам </w:t>
      </w:r>
      <w:r w:rsidR="002B50CC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сессии «Перспективы формирования “территории инноваций” и стимулирование научно-технических прорывов в ЕАЭС</w:t>
      </w:r>
      <w:r w:rsidR="00366098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r w:rsidR="002B50CC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рамках XX Апрельской международной научной конференции по проблемам развития экономики и общества</w:t>
      </w:r>
      <w:r w:rsidR="00366098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2B50CC" w:rsidRPr="009F2473" w:rsidRDefault="00366098" w:rsidP="006D51D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(Национальный </w:t>
      </w:r>
      <w:r w:rsidR="002B50CC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исследова</w:t>
      </w:r>
      <w:r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тельский университет «Высшая школа экономики», 12 апреля 2019 </w:t>
      </w:r>
      <w:r w:rsidR="002B50CC"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года)</w:t>
      </w:r>
    </w:p>
    <w:p w:rsidR="00F74FF7" w:rsidRPr="00BD5B37" w:rsidRDefault="00F74FF7" w:rsidP="00580BC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u w:val="single"/>
          <w:lang w:val="ru-RU"/>
        </w:rPr>
        <w:t>Участники  мероприятия</w:t>
      </w:r>
    </w:p>
    <w:p w:rsidR="00BD5B37" w:rsidRDefault="00BD5B37" w:rsidP="00580BC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4FF7">
        <w:rPr>
          <w:rFonts w:ascii="Times New Roman" w:hAnsi="Times New Roman" w:cs="Times New Roman"/>
          <w:sz w:val="28"/>
          <w:szCs w:val="28"/>
          <w:lang w:val="ru-RU"/>
        </w:rPr>
        <w:t>еждународные 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5B37" w:rsidRPr="00BD5B37" w:rsidRDefault="00F74FF7" w:rsidP="00580BCA">
      <w:pPr>
        <w:pStyle w:val="a6"/>
        <w:numPr>
          <w:ilvl w:val="0"/>
          <w:numId w:val="9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Евразийск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комисси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(ЕЭК) </w:t>
      </w:r>
    </w:p>
    <w:p w:rsidR="00BD5B37" w:rsidRPr="00BD5B37" w:rsidRDefault="00F74FF7" w:rsidP="00580BCA">
      <w:pPr>
        <w:pStyle w:val="a6"/>
        <w:numPr>
          <w:ilvl w:val="0"/>
          <w:numId w:val="9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Евразийский  банк  развития  (ЕАБР)   </w:t>
      </w:r>
    </w:p>
    <w:p w:rsidR="00BD5B37" w:rsidRDefault="00F74FF7" w:rsidP="00580BC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Органы власти </w:t>
      </w:r>
      <w:r w:rsidR="00BD5B37">
        <w:rPr>
          <w:rFonts w:ascii="Times New Roman" w:hAnsi="Times New Roman" w:cs="Times New Roman"/>
          <w:sz w:val="28"/>
          <w:szCs w:val="28"/>
          <w:lang w:val="ru-RU"/>
        </w:rPr>
        <w:t>стран  ЕАЭС:</w:t>
      </w:r>
    </w:p>
    <w:p w:rsidR="00BD5B37" w:rsidRPr="00BD5B37" w:rsidRDefault="00F74FF7" w:rsidP="00580BCA">
      <w:pPr>
        <w:pStyle w:val="a6"/>
        <w:numPr>
          <w:ilvl w:val="0"/>
          <w:numId w:val="10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науки и высшего образования Российской Федерации</w:t>
      </w:r>
    </w:p>
    <w:p w:rsidR="00BD5B37" w:rsidRPr="00BD5B37" w:rsidRDefault="00F74FF7" w:rsidP="00580BCA">
      <w:pPr>
        <w:pStyle w:val="a6"/>
        <w:numPr>
          <w:ilvl w:val="0"/>
          <w:numId w:val="10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цифрового развития, массовых коммуникаций и связи Российской Федерации</w:t>
      </w:r>
    </w:p>
    <w:p w:rsidR="00BD5B37" w:rsidRPr="00BD5B37" w:rsidRDefault="00F74FF7" w:rsidP="00580BCA">
      <w:pPr>
        <w:pStyle w:val="a6"/>
        <w:numPr>
          <w:ilvl w:val="0"/>
          <w:numId w:val="10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промышленности и торговли Российской Федерации</w:t>
      </w:r>
    </w:p>
    <w:p w:rsidR="00BD5B37" w:rsidRPr="00BD5B37" w:rsidRDefault="00F74FF7" w:rsidP="00580BCA">
      <w:pPr>
        <w:pStyle w:val="a6"/>
        <w:numPr>
          <w:ilvl w:val="0"/>
          <w:numId w:val="10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>служб</w:t>
      </w:r>
      <w:r w:rsidR="00BD5B37" w:rsidRPr="00BD5B3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интеллектуальной собственности и инноваций при Правительстве Кыргызской Республики</w:t>
      </w:r>
    </w:p>
    <w:p w:rsidR="00BD5B37" w:rsidRDefault="00BD5B37" w:rsidP="00580BCA">
      <w:pPr>
        <w:pStyle w:val="a6"/>
        <w:numPr>
          <w:ilvl w:val="0"/>
          <w:numId w:val="10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>Государственный комитет  по науке и   технологиям  Республики Беларусь.</w:t>
      </w:r>
      <w:r w:rsidRPr="00BD5B37">
        <w:rPr>
          <w:lang w:val="ru-RU"/>
        </w:rPr>
        <w:t xml:space="preserve"> 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>Государственное  учреждение  «Белорусский  институт системного анализа и инновационного  обеспечения  научно-технической  сферы»</w:t>
      </w:r>
    </w:p>
    <w:p w:rsidR="00BD5B37" w:rsidRPr="00BD5B37" w:rsidRDefault="00BD5B37" w:rsidP="00580BCA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5B37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Академическое </w:t>
      </w:r>
      <w:r w:rsidR="00F74FF7" w:rsidRPr="00BD5B37">
        <w:rPr>
          <w:rFonts w:ascii="Times New Roman" w:hAnsi="Times New Roman" w:cs="Times New Roman"/>
          <w:sz w:val="28"/>
          <w:szCs w:val="28"/>
          <w:lang w:val="ru-RU"/>
        </w:rPr>
        <w:t>и экспертно</w:t>
      </w:r>
      <w:r w:rsidRPr="00BD5B37">
        <w:rPr>
          <w:rFonts w:ascii="Times New Roman" w:hAnsi="Times New Roman" w:cs="Times New Roman"/>
          <w:sz w:val="28"/>
          <w:szCs w:val="28"/>
          <w:lang w:val="ru-RU"/>
        </w:rPr>
        <w:t>е  сообщество:</w:t>
      </w:r>
    </w:p>
    <w:p w:rsidR="00BD5B37" w:rsidRPr="009542E9" w:rsidRDefault="00F74FF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>Национальный  исследовательский  университет  «Высшая  школа  экономики»</w:t>
      </w:r>
    </w:p>
    <w:p w:rsidR="00580BCA" w:rsidRPr="00580BCA" w:rsidRDefault="00BD5B3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80B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74FF7" w:rsidRPr="00580BCA">
        <w:rPr>
          <w:rFonts w:ascii="Times New Roman" w:hAnsi="Times New Roman" w:cs="Times New Roman"/>
          <w:sz w:val="28"/>
          <w:szCs w:val="28"/>
          <w:lang w:val="ru-RU"/>
        </w:rPr>
        <w:t>налитический центр при Правительстве Российской Федерации</w:t>
      </w:r>
    </w:p>
    <w:p w:rsidR="00BD5B37" w:rsidRPr="00580BCA" w:rsidRDefault="00F74FF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80BCA">
        <w:rPr>
          <w:rFonts w:ascii="Times New Roman" w:hAnsi="Times New Roman" w:cs="Times New Roman"/>
          <w:sz w:val="28"/>
          <w:szCs w:val="28"/>
          <w:lang w:val="ru-RU"/>
        </w:rPr>
        <w:t>Международный   центр  научной  и  технической  информации (МЦНТИ)</w:t>
      </w:r>
    </w:p>
    <w:p w:rsidR="00BD5B37" w:rsidRPr="009542E9" w:rsidRDefault="00BD5B3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>Национальный институт научно-технической политики (Япония)</w:t>
      </w:r>
    </w:p>
    <w:p w:rsidR="00BD5B37" w:rsidRPr="009542E9" w:rsidRDefault="00BD5B3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>Центр управления и стратегических исследований в области науки, технологий и инноваций (Бразилия)</w:t>
      </w:r>
    </w:p>
    <w:p w:rsidR="00BD5B37" w:rsidRPr="009542E9" w:rsidRDefault="00BD5B37" w:rsidP="00580BCA">
      <w:pPr>
        <w:pStyle w:val="a6"/>
        <w:numPr>
          <w:ilvl w:val="0"/>
          <w:numId w:val="12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 xml:space="preserve">Гавайский университет в Маноа (США) </w:t>
      </w:r>
    </w:p>
    <w:p w:rsidR="00BD5B37" w:rsidRDefault="00BD5B37" w:rsidP="00580BC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Бизнес</w:t>
      </w:r>
      <w:r w:rsidR="00954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сообщество</w:t>
      </w:r>
      <w:r w:rsidR="009542E9">
        <w:rPr>
          <w:rFonts w:ascii="Times New Roman" w:hAnsi="Times New Roman" w:cs="Times New Roman"/>
          <w:sz w:val="28"/>
          <w:szCs w:val="28"/>
          <w:lang w:val="ru-RU"/>
        </w:rPr>
        <w:t xml:space="preserve"> и некоммерческие  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42E9" w:rsidRPr="009542E9" w:rsidRDefault="009542E9" w:rsidP="00580BCA">
      <w:pPr>
        <w:pStyle w:val="a6"/>
        <w:numPr>
          <w:ilvl w:val="0"/>
          <w:numId w:val="11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>Центр кластерного развития АО «Технопарк Санкт–Петербург»</w:t>
      </w:r>
    </w:p>
    <w:p w:rsidR="009542E9" w:rsidRPr="009542E9" w:rsidRDefault="009542E9" w:rsidP="00580BCA">
      <w:pPr>
        <w:pStyle w:val="a6"/>
        <w:numPr>
          <w:ilvl w:val="0"/>
          <w:numId w:val="11"/>
        </w:numPr>
        <w:spacing w:after="120"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542E9">
        <w:rPr>
          <w:rFonts w:ascii="Times New Roman" w:hAnsi="Times New Roman" w:cs="Times New Roman"/>
          <w:sz w:val="28"/>
          <w:szCs w:val="28"/>
          <w:lang w:val="ru-RU"/>
        </w:rPr>
        <w:t>Ассоциация «Некоммерческое партнерство «Камский инновационный территориально-производственный кластер»</w:t>
      </w:r>
    </w:p>
    <w:p w:rsidR="009542E9" w:rsidRPr="00F74FF7" w:rsidRDefault="009542E9" w:rsidP="00580BCA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="00580BC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D5B37">
        <w:rPr>
          <w:rFonts w:ascii="Times New Roman" w:hAnsi="Times New Roman" w:cs="Times New Roman"/>
          <w:sz w:val="28"/>
          <w:szCs w:val="28"/>
          <w:lang w:val="ru-RU"/>
        </w:rPr>
        <w:t>осольств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D5B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4FF7" w:rsidRPr="00F74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Республики  Армении  в Российской Федерации,</w:t>
      </w:r>
      <w:r w:rsidR="00580BCA">
        <w:rPr>
          <w:rFonts w:ascii="Times New Roman" w:hAnsi="Times New Roman" w:cs="Times New Roman"/>
          <w:sz w:val="28"/>
          <w:szCs w:val="28"/>
          <w:lang w:val="ru-RU"/>
        </w:rPr>
        <w:t xml:space="preserve"> Посольства  Республики  Казахстан в Российской  Федерации, Посольства  </w:t>
      </w:r>
      <w:r w:rsidR="00580BC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Республики   Беларусь в Российской  Федерации, Посольства </w:t>
      </w:r>
      <w:r w:rsidR="00580BCA" w:rsidRPr="00580BCA">
        <w:rPr>
          <w:rFonts w:ascii="Times New Roman" w:hAnsi="Times New Roman" w:cs="Times New Roman"/>
          <w:sz w:val="28"/>
          <w:szCs w:val="28"/>
          <w:lang w:val="ru-RU"/>
        </w:rPr>
        <w:t>Кыргызской Республики</w:t>
      </w:r>
      <w:r w:rsidR="00580BCA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  Федерации</w:t>
      </w:r>
      <w:r w:rsidR="00F74FF7" w:rsidRPr="00F74F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74FF7" w:rsidRDefault="00F74FF7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74FF7" w:rsidRDefault="00F74FF7" w:rsidP="00F74FF7">
      <w:pPr>
        <w:spacing w:after="12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F74FF7" w:rsidRDefault="00F74FF7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75C79" w:rsidRPr="009F2473" w:rsidRDefault="007F0F92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Текущий момент развития евразийской интеграции требует перехода на новую, более глубокую стадию, повышающую добавленную стоимость наднационально</w:t>
      </w:r>
      <w:r w:rsidR="00366098" w:rsidRPr="009F2473">
        <w:rPr>
          <w:rFonts w:ascii="Times New Roman" w:hAnsi="Times New Roman" w:cs="Times New Roman"/>
          <w:sz w:val="28"/>
          <w:szCs w:val="28"/>
          <w:lang w:val="ru-RU"/>
        </w:rPr>
        <w:t>й кооперации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5C7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Научно-техническое и инновационное сотрудничество являются теми сферами, где можно добиться принципиально нового качества и уровня интеграции. </w:t>
      </w:r>
      <w:r w:rsidR="0036609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Об этом свидетельствует опыт </w:t>
      </w:r>
      <w:r w:rsidR="00D75C7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других региональных и интеграционных объединений, прежде всего </w:t>
      </w:r>
      <w:r w:rsidR="00F1201B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успешный </w:t>
      </w:r>
      <w:r w:rsidR="00D75C79" w:rsidRPr="009F2473">
        <w:rPr>
          <w:rFonts w:ascii="Times New Roman" w:hAnsi="Times New Roman" w:cs="Times New Roman"/>
          <w:sz w:val="28"/>
          <w:szCs w:val="28"/>
          <w:lang w:val="ru-RU"/>
        </w:rPr>
        <w:t>опыт</w:t>
      </w:r>
      <w:r w:rsidR="0036609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01B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функционирования </w:t>
      </w:r>
      <w:r w:rsidR="00D75C79" w:rsidRPr="009F2473">
        <w:rPr>
          <w:rFonts w:ascii="Times New Roman" w:hAnsi="Times New Roman" w:cs="Times New Roman"/>
          <w:sz w:val="28"/>
          <w:szCs w:val="28"/>
          <w:lang w:val="ru-RU"/>
        </w:rPr>
        <w:t>Европейс</w:t>
      </w:r>
      <w:r w:rsidR="0036609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кого научного пространства в </w:t>
      </w:r>
      <w:r w:rsidR="00D75C79" w:rsidRPr="009F2473">
        <w:rPr>
          <w:rFonts w:ascii="Times New Roman" w:hAnsi="Times New Roman" w:cs="Times New Roman"/>
          <w:sz w:val="28"/>
          <w:szCs w:val="28"/>
          <w:lang w:val="ru-RU"/>
        </w:rPr>
        <w:t>ЕС.</w:t>
      </w:r>
    </w:p>
    <w:p w:rsidR="00366098" w:rsidRPr="009F2473" w:rsidRDefault="00366098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достижения целей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развития Союза с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ледует активно дополнять интеграцию новыми направлениями,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пока не предусмотренными Договором о ЕАЭС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, но важными для его будущего 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(в то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м числе такими направлениями 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как образовани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и наук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, здравоохранени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>, спорт, туризм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и др.).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A40" w:rsidRPr="009F2473">
        <w:rPr>
          <w:rFonts w:ascii="Times New Roman" w:hAnsi="Times New Roman" w:cs="Times New Roman"/>
          <w:sz w:val="28"/>
          <w:szCs w:val="28"/>
          <w:lang w:val="ru-RU"/>
        </w:rPr>
        <w:t>Формирование «территории инноваций» и стимулирование научно-технических прорывов включено в число ключевых направлений дальнейшего развития ЕАЭС на перспективу до 2025 года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(Декларация о дальнейшем развитии интеграционных процессов в рамках ЕАЭС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, утвержденная в декабре 2018 г.)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Для реализации данного направления необходима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выработка 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максимально сжатые сроки </w:t>
      </w:r>
      <w:r w:rsidR="00F7406A" w:rsidRPr="009F2473">
        <w:rPr>
          <w:rFonts w:ascii="Times New Roman" w:hAnsi="Times New Roman" w:cs="Times New Roman"/>
          <w:sz w:val="28"/>
          <w:szCs w:val="28"/>
          <w:lang w:val="ru-RU"/>
        </w:rPr>
        <w:t>конкретных механизмов и инструментов.</w:t>
      </w:r>
      <w:r w:rsidR="00262D6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Одновременно необходимо учитывать комплекс глобальных социально-экономических, научно-технологических, экологических и ценностных вызовов, в том числе связанных с фундаментальной цифровой трансформацией, на которые странам ЕАЭС необходимо выработать консолидированные ответы.</w:t>
      </w:r>
    </w:p>
    <w:p w:rsidR="00BB51DF" w:rsidRPr="009F2473" w:rsidRDefault="00366098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Государства «евразийской пятерки» 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имеют большой потенциал для формирования трансграничного пространства доверия и перехода </w:t>
      </w:r>
      <w:r w:rsidR="00E84703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>цифровой экономике, для совместных исследований и разработок, трансфера технологий, которые необходимы для модернизации действующих производств и создания новых инновационных секторов промышленности, эффективной интеграции в глобальные цепочки добавленной стоимости и создания новых кооперационных цепочек, адаптации к новому технологическому укладу, усиления мобильности рабочей силы на экономическом пространстве Союза для повышения конкурентоспособности товаров и услуг.</w:t>
      </w:r>
    </w:p>
    <w:p w:rsidR="001228C4" w:rsidRPr="009F2473" w:rsidRDefault="00473706" w:rsidP="00A51993">
      <w:pPr>
        <w:spacing w:after="12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Признавая важность ключевых разработанных документов, определяющих основные </w:t>
      </w:r>
      <w:r w:rsidR="004C6A40" w:rsidRPr="009F2473">
        <w:rPr>
          <w:rFonts w:ascii="Times New Roman" w:hAnsi="Times New Roman" w:cs="Times New Roman"/>
          <w:sz w:val="28"/>
          <w:szCs w:val="28"/>
          <w:lang w:val="ru-RU"/>
        </w:rPr>
        <w:t>направления и инструменты модернизации (технического перевооружения) действующих производств и создания новых инновационных секторов промышленности государств-членов Союза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A40" w:rsidRPr="009F247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Основные направления промышленного сотрудничества в рамках ЕАЭС (2015); Основные направления реализации цифрово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й</w:t>
      </w:r>
      <w:r w:rsidR="007C681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повестки ЕАЭС до 2025 г. (2017</w:t>
      </w:r>
      <w:r w:rsidR="00703176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 также важность </w:t>
      </w:r>
      <w:r w:rsidR="00F7406A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уже </w:t>
      </w:r>
      <w:r w:rsidR="00F7406A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разра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ботанных конкретных механизмов поддержки инновационного сотрудничества </w:t>
      </w:r>
      <w:r w:rsidR="00F7406A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(Евразийская  цифровая платформа  промышленной кооперации и субконтрактации, Евразийские технологические платформы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F7406A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Евразийский инжиниринговый центр по станкостроению, </w:t>
      </w:r>
      <w:r w:rsidR="00B61007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Евразийская информационная система промышленности,</w:t>
      </w:r>
      <w:r w:rsidR="00F7406A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Евразийская сеть трансфера технологий, Евраз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ийский сетевой университет), участники сессии 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отметили, что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существующие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темпы и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масштаб совместной деятельности не 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могут обеспечить достижение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заявленных 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целей</w:t>
      </w:r>
      <w:r w:rsidR="001228C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, обес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печить конкурентоспособность стран </w:t>
      </w:r>
      <w:r w:rsidR="001228C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ЕАЭС</w:t>
      </w:r>
      <w:r w:rsidR="004C6A40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условиях стремительной технологической модернизации, цифровизации и  нарастающего соперничества </w:t>
      </w:r>
      <w:r w:rsidR="001228C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r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глобальном рынке технологий и разработок. Необходима </w:t>
      </w:r>
      <w:r w:rsidR="00BB51DF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разработка перечня </w:t>
      </w:r>
      <w:r w:rsidR="001228C4" w:rsidRPr="009F2473">
        <w:rPr>
          <w:rFonts w:ascii="Times New Roman" w:hAnsi="Times New Roman" w:cs="Times New Roman"/>
          <w:sz w:val="28"/>
          <w:szCs w:val="28"/>
          <w:lang w:val="ru-RU"/>
        </w:rPr>
        <w:t>совместных масштабных  проектов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с высокой интеграционной составляющей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>высокотехнологичных  отраслях (включая авиакосмическую промышленность и двигателестроение, медицинскую и микробиологическую промышленность, производство электрических машин и оборудования, радиоэлектронную промышленность, станкостроение и др.)</w:t>
      </w:r>
      <w:r w:rsidR="001228C4" w:rsidRPr="009F2473">
        <w:rPr>
          <w:rFonts w:ascii="Times New Roman" w:hAnsi="Times New Roman" w:cs="Times New Roman"/>
          <w:sz w:val="28"/>
          <w:szCs w:val="28"/>
          <w:lang w:val="ru-RU"/>
        </w:rPr>
        <w:t>, способных стать символами евразийской интеграции,</w:t>
      </w:r>
      <w:r w:rsidR="00BB51DF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 w:rsidR="001228C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выработка  конк</w:t>
      </w:r>
      <w:r w:rsidR="0056255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ретных  инструментов поддержки </w:t>
      </w:r>
      <w:r w:rsidR="00BB51DF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кооперации в научно-технической  и инноваци</w:t>
      </w:r>
      <w:r w:rsidR="00562554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>онной сфере, основанных на лучшем национальном и зарубежном</w:t>
      </w:r>
      <w:r w:rsidR="00BB51DF" w:rsidRPr="009F247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опыте</w:t>
      </w:r>
      <w:r w:rsidR="001228C4" w:rsidRPr="009F24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80C" w:rsidRPr="009F2473" w:rsidRDefault="00562554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евразийской «территории инноваций» должно быть сопряжено с мерами по ускоренной реализации цифровой повестки ЕАЭС, включая дальнейшие задачи по </w:t>
      </w:r>
      <w:r w:rsidR="002A580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внедрению единой системы передачи и обмена цифровыми данными, по формированию единого 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электронного </w:t>
      </w:r>
      <w:r w:rsidR="002A580C" w:rsidRPr="009F2473">
        <w:rPr>
          <w:rFonts w:ascii="Times New Roman" w:hAnsi="Times New Roman" w:cs="Times New Roman"/>
          <w:sz w:val="28"/>
          <w:szCs w:val="28"/>
          <w:lang w:val="ru-RU"/>
        </w:rPr>
        <w:t>пространства доверия, по разработке еди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ной геоинформационной системы, </w:t>
      </w:r>
      <w:r w:rsidR="002A580C" w:rsidRPr="009F2473">
        <w:rPr>
          <w:rFonts w:ascii="Times New Roman" w:hAnsi="Times New Roman" w:cs="Times New Roman"/>
          <w:sz w:val="28"/>
          <w:szCs w:val="28"/>
          <w:lang w:val="ru-RU"/>
        </w:rPr>
        <w:t>содействующей в том числе прослеживаемости продукции и товаров и т.д.</w:t>
      </w:r>
    </w:p>
    <w:p w:rsidR="009D2889" w:rsidRPr="009F2473" w:rsidRDefault="00562554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Признавая важность мер, которые необходимо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>предп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ринять на наднациональном уровне, участники сессии подчеркнули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приоритетность усилий 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государств-членов ЕАЭС в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обеспечении 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пр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огресса в научно-технической 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 инновационн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о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й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сферах, 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включая 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создани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е</w:t>
      </w:r>
      <w:r w:rsidR="009D288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стимулирующих условий посредством налоговой, бюджетной, кредитной, таможенной политики,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инвестиции 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 развит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ие научно-исследовательской и 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инфо-комм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уникационной  инфраструктуры, поощрение более активного 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вза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имодействия в «треугольнике знаний» </w:t>
      </w:r>
      <w:r w:rsidR="00B4215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(образование-наука-бизнес). </w:t>
      </w:r>
    </w:p>
    <w:p w:rsidR="009D2889" w:rsidRPr="009F2473" w:rsidRDefault="00B4215C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сессии призывают наднациональные финансовые институты на постсоветском пространстве, прежде всего, Евразийский банк развития и Евразийский фонд стабилизации и развития рассмотреть возможность разработки доступных финансовых инструментов (кредиты, гранты и т.п.) для </w:t>
      </w:r>
      <w:r w:rsidR="001228C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</w:t>
      </w:r>
      <w:bookmarkStart w:id="1" w:name="_Hlk5826270"/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перспективных передовых проектов 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высокотехнологичных отраслях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экономики.</w:t>
      </w:r>
    </w:p>
    <w:bookmarkEnd w:id="1"/>
    <w:p w:rsidR="00C63E48" w:rsidRPr="009F2473" w:rsidRDefault="00562554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1201B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целях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ускоренного формирования евразийской </w:t>
      </w:r>
      <w:r w:rsidR="00392ADA" w:rsidRPr="009F24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инноваций» и стимулирования научно-технических прорывов участники сессии определили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lastRenderedPageBreak/>
        <w:t>ряд приоритетных</w:t>
      </w:r>
      <w:r w:rsidR="00477CD1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кото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рые 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>могут способствовать достижению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значимых результатов. К их числу</w:t>
      </w:r>
      <w:r w:rsidR="00C63E4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относятся:</w:t>
      </w:r>
    </w:p>
    <w:p w:rsidR="00AF172E" w:rsidRPr="009F2473" w:rsidRDefault="00562554" w:rsidP="00A51993">
      <w:pPr>
        <w:pStyle w:val="a6"/>
        <w:numPr>
          <w:ilvl w:val="0"/>
          <w:numId w:val="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целесообразности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расширения сферы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наднациональной компетенции Евразийской экономической комиссии и внесения изменений и 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олнений в базовый Договор о 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ЕАЭС; </w:t>
      </w:r>
    </w:p>
    <w:p w:rsidR="00703176" w:rsidRPr="009F2473" w:rsidRDefault="00703176" w:rsidP="00A51993">
      <w:pPr>
        <w:pStyle w:val="a6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Разработка Межгосударственной программы сотрудничества государств – участниц ЕАЭС в сфере НТИ, включая план последовательных действий по гармонизации процессов и документов стратегического планирования и нормативно-правового регулирования на уровне ЕАЭС в сфере НТИ</w:t>
      </w:r>
      <w:r w:rsidR="00A51993" w:rsidRPr="009F2473">
        <w:rPr>
          <w:rFonts w:ascii="Times New Roman" w:hAnsi="Times New Roman" w:cs="Times New Roman"/>
          <w:sz w:val="28"/>
          <w:szCs w:val="28"/>
          <w:lang w:val="ru-RU"/>
        </w:rPr>
        <w:t>,  прежде  всего в сфере  интеллектуальной  собственности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969AD" w:rsidRPr="009F2473" w:rsidRDefault="00947F8F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Разработка стратегической программы научно-технического и инновационного развития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ЕАЭС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на долгосрочный период</w:t>
      </w:r>
      <w:r w:rsidR="00937B58">
        <w:rPr>
          <w:rFonts w:ascii="Times New Roman" w:hAnsi="Times New Roman" w:cs="Times New Roman"/>
          <w:sz w:val="28"/>
          <w:szCs w:val="28"/>
          <w:lang w:val="ru-RU"/>
        </w:rPr>
        <w:t xml:space="preserve"> с  учетом  опыта  разработки  аналогичных  документов  стратегического планирования  как   в странах Союза (например, Стратегии научно-технологического развития Российской Федерации, утвержденной  Приказом  Президента  Российской  Федерации  от 1 декабря  2016  г.,  №642),  так и на   международном  уровне (например,   горизонтальных  стратегий  ОЭСР  -  Стратегии  инновационного  развития  ОЭСР,  Стратегии по  навыкам  ОЭСР  и др.)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69AD" w:rsidRPr="009F2473" w:rsidRDefault="00562554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совместных механизмов финансовой поддержки и проектного управления в сфере </w:t>
      </w:r>
      <w:r w:rsidR="00DF4A9C">
        <w:rPr>
          <w:rFonts w:ascii="Times New Roman" w:hAnsi="Times New Roman" w:cs="Times New Roman"/>
          <w:sz w:val="28"/>
          <w:szCs w:val="28"/>
          <w:lang w:val="ru-RU"/>
        </w:rPr>
        <w:t xml:space="preserve">НТИ, предусматривающей, 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 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>выдачу научных грантов коллективам ученых, р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аботающих по приоритетны</w:t>
      </w:r>
      <w:r w:rsidR="00703176" w:rsidRPr="009F247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ЕАЭС направлениям, 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>при условии включения в эти коллективы коллег из союзных государств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, а также из 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третьих  стран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(по примеру европейской 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248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«Горизонт – 2020»); </w:t>
      </w:r>
    </w:p>
    <w:p w:rsidR="00E30BEC" w:rsidRPr="009F2473" w:rsidRDefault="0091798C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возможностей формирования 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Межгосударственного фонда научных исследований и 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>инноваций и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>Центра высоких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>технологий ЕАЭС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0075" w:rsidRPr="009F2473" w:rsidRDefault="00840075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Организация мониторинга трендов и формирование долгосрочных прогнозов научно-технологического развития секторов экономики стран – членов ЕАЭС (создание системы опережающего научно-технологического прогнозирования стран ЕАЭС);</w:t>
      </w:r>
    </w:p>
    <w:p w:rsidR="00A446E7" w:rsidRPr="009F2473" w:rsidRDefault="00562554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Анализ возможностей 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имплементации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лучших международных стандартов и практик управления НТИ, 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том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числе разработанных</w:t>
      </w:r>
      <w:r w:rsidR="00AF172E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Организацией  экономического  сотрудничества и  развития,  в нормативно-правовую  базу  и проектную  деятельность  ЕАЭС</w:t>
      </w:r>
      <w:r w:rsidR="00A446E7"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6E7" w:rsidRPr="009F2473" w:rsidRDefault="00A446E7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Разработка согласованной стратегии и «дорожных карт» развития новых производств, инженерного програм</w:t>
      </w:r>
      <w:r w:rsidR="007C6811">
        <w:rPr>
          <w:rFonts w:ascii="Times New Roman" w:hAnsi="Times New Roman" w:cs="Times New Roman"/>
          <w:sz w:val="28"/>
          <w:szCs w:val="28"/>
          <w:lang w:val="ru-RU"/>
        </w:rPr>
        <w:t xml:space="preserve">много обеспечения и ряда других,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критически важных для промышленности направлений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7F8F" w:rsidRPr="009F2473">
        <w:rPr>
          <w:rFonts w:ascii="Times New Roman" w:hAnsi="Times New Roman" w:cs="Times New Roman"/>
          <w:sz w:val="28"/>
          <w:szCs w:val="28"/>
          <w:lang w:val="ru-RU"/>
        </w:rPr>
        <w:t>разработка единого подхода в области стандартизации цифрового производства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46E7" w:rsidRPr="009F2473" w:rsidRDefault="00562554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Модернизация набора</w:t>
      </w:r>
      <w:r w:rsidR="00A446E7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инструментов поддержки технологического перевооружения производственных предприятий на основе отечественных </w:t>
      </w:r>
      <w:r w:rsidR="00A446E7" w:rsidRPr="009F247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технологий с учетом секторальных особенностей и уровней готовностей технологий;</w:t>
      </w:r>
    </w:p>
    <w:p w:rsidR="00B61007" w:rsidRPr="009F2473" w:rsidRDefault="00B61007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Сопряжение,  с одной  стороны,  курса   на  активизацию  создания   новых  цепочек  создания добавленной   стоимости в рамках  ЕАЭС</w:t>
      </w:r>
      <w:r w:rsidR="0091798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,  и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с  другой</w:t>
      </w:r>
      <w:r w:rsidR="0091798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курса на  совместное  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встраивание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 в глобальны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 цепочк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 создания  добавленной стоимости</w:t>
      </w:r>
      <w:r w:rsidR="0091798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>звенья  с выс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окой 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добавленной  стоимостью</w:t>
      </w:r>
      <w:r w:rsidR="0091798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 (инн</w:t>
      </w:r>
      <w:r w:rsidR="00DF4A9C">
        <w:rPr>
          <w:rFonts w:ascii="Times New Roman" w:hAnsi="Times New Roman" w:cs="Times New Roman"/>
          <w:sz w:val="28"/>
          <w:szCs w:val="28"/>
          <w:lang w:val="ru-RU"/>
        </w:rPr>
        <w:t>овации,  ОКР, маркетинг  и т.д.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62554"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1007" w:rsidRPr="009F2473" w:rsidRDefault="00B61007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Расширение</w:t>
      </w:r>
      <w:r w:rsidR="00DF4A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использования действующих инновационных механизмов (в том числе Евразийских технологических платформ, Евразийской сети трансфера технологий, Евразийской цифровой платформы промышленной кооперации и субконтрактации и др.);</w:t>
      </w:r>
    </w:p>
    <w:p w:rsidR="006A34CB" w:rsidRPr="006A34CB" w:rsidRDefault="00562554" w:rsidP="006A34CB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B61007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34CB">
        <w:rPr>
          <w:rFonts w:ascii="Times New Roman" w:hAnsi="Times New Roman" w:cs="Times New Roman"/>
          <w:sz w:val="28"/>
          <w:szCs w:val="28"/>
          <w:lang w:val="ru-RU"/>
        </w:rPr>
        <w:t xml:space="preserve">устойчивых </w:t>
      </w:r>
      <w:r w:rsidR="00B61007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механизмов поддержки </w:t>
      </w:r>
      <w:r w:rsidR="006A34CB">
        <w:rPr>
          <w:rFonts w:ascii="Times New Roman" w:hAnsi="Times New Roman" w:cs="Times New Roman"/>
          <w:sz w:val="28"/>
          <w:szCs w:val="28"/>
          <w:lang w:val="ru-RU"/>
        </w:rPr>
        <w:t xml:space="preserve">инвестиций </w:t>
      </w:r>
      <w:r w:rsidR="006A34C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 </w:t>
      </w:r>
      <w:r w:rsidR="00B6100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инновационно-промышленн</w:t>
      </w:r>
      <w:r w:rsidR="006A34CB">
        <w:rPr>
          <w:rFonts w:ascii="Times New Roman" w:eastAsia="Courier New" w:hAnsi="Times New Roman" w:cs="Times New Roman"/>
          <w:sz w:val="28"/>
          <w:szCs w:val="28"/>
          <w:lang w:val="ru-RU"/>
        </w:rPr>
        <w:t>ое</w:t>
      </w:r>
      <w:r w:rsidR="00354E6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сотрудничества </w:t>
      </w:r>
      <w:r w:rsidR="006A34C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стран </w:t>
      </w:r>
      <w:r w:rsidR="00354E69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ЕАЭС, </w:t>
      </w:r>
      <w:r w:rsidR="006A34C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 использованием </w:t>
      </w:r>
      <w:r w:rsidR="00B6100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долгосрочных </w:t>
      </w:r>
      <w:r w:rsidR="006A34C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договорных</w:t>
      </w:r>
      <w:r w:rsidR="006A34C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контрактов, с одновременной гармонизацией национальных законодательств в этой области</w:t>
      </w:r>
      <w:r w:rsidR="00B61007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0BEC" w:rsidRPr="009F2473" w:rsidRDefault="00562554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 w:rsidR="00947F8F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перечня 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совместных </w:t>
      </w:r>
      <w:r w:rsidR="00947F8F" w:rsidRPr="009F2473">
        <w:rPr>
          <w:rFonts w:ascii="Times New Roman" w:hAnsi="Times New Roman" w:cs="Times New Roman"/>
          <w:sz w:val="28"/>
          <w:szCs w:val="28"/>
          <w:lang w:val="ru-RU"/>
        </w:rPr>
        <w:t>приоритетных комплексных научно-технических программ и проектов полного инновационного цикла</w:t>
      </w:r>
      <w:r w:rsidR="00383731" w:rsidRPr="009F24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0BEC" w:rsidRPr="009F2473" w:rsidRDefault="00562554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Создание и развитие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общей информационной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и статистической базы в сфере 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НТИ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, основанной на</w:t>
      </w:r>
      <w:r w:rsidR="006C18A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</w:t>
      </w:r>
      <w:r w:rsidR="007B741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международных стандартах сбора и</w:t>
      </w:r>
      <w:r w:rsidR="006C18A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расчета  статистических  показателей  развит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ия НТИ (включая Руководства</w:t>
      </w:r>
      <w:r w:rsidR="006C18A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Осло и  Фраскати);</w:t>
      </w:r>
    </w:p>
    <w:p w:rsidR="00A51993" w:rsidRPr="009F2473" w:rsidRDefault="00383731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Разработка плана мероприятий по 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инвентаризаци</w:t>
      </w:r>
      <w:r w:rsidR="00A51993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и</w:t>
      </w:r>
      <w:r w:rsidR="004115EB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 имеющейся в странах 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ЕАЭС НТИ инфраструктуры, </w:t>
      </w:r>
      <w:r w:rsidR="00A51993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в том числе информационных  систем  и систем  анализа  больших  данных  (например, разработанной  НИУ  ВШЭ  систем</w:t>
      </w:r>
      <w:r w:rsidR="00DD6CC6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ы</w:t>
      </w:r>
      <w:r w:rsidR="00A51993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</w:t>
      </w:r>
      <w:r w:rsidR="00A51993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iFORA</w:t>
      </w:r>
      <w:r w:rsidR="00DD6CC6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, интернет  платформы  Российского   центра  открыт</w:t>
      </w:r>
      <w:r w:rsidR="004115EB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ы</w:t>
      </w:r>
      <w:r w:rsidR="00DD6CC6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х инноваций  «ИННОСКОП»</w:t>
      </w:r>
      <w:r w:rsidR="00A51993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),  и рассмотрение    возможностей   имплементации данных  систем  в  деятельность  ЕЭК,  а также  возможностей коллективного использования данных систем  профильными    ведомствами и организациями   стран  ЕАЭС;  </w:t>
      </w:r>
    </w:p>
    <w:p w:rsidR="00E30BEC" w:rsidRPr="009F2473" w:rsidRDefault="00A51993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С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оздани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е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 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и использовани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е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 новой 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международной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(евразийской) 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сети объектов научно-технологической и производственной инфраструктуры (центры коллективного пользования, инжиниринговые центры, пилотные производства, технопарки, </w:t>
      </w:r>
      <w:r w:rsidR="006C18A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ИТ-парки, </w:t>
      </w:r>
      <w:r w:rsidR="00383731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инкубаторы и т.д.)</w:t>
      </w:r>
      <w:r w:rsidR="006C18A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; </w:t>
      </w:r>
    </w:p>
    <w:p w:rsidR="006C18A8" w:rsidRPr="009F2473" w:rsidRDefault="00383731" w:rsidP="00A51993">
      <w:pPr>
        <w:pStyle w:val="a6"/>
        <w:numPr>
          <w:ilvl w:val="0"/>
          <w:numId w:val="6"/>
        </w:numPr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Разработка комплекса мер 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по развитию человеческого </w:t>
      </w:r>
      <w:r w:rsidR="00840075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капитала в сфере НТИ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, включая</w:t>
      </w:r>
      <w:r w:rsidR="00840075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меры по </w:t>
      </w:r>
      <w:r w:rsidR="0091798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академической 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мобильности, развитие компетенций</w:t>
      </w:r>
      <w:r w:rsidR="00840075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инно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вационной и предпринимательской</w:t>
      </w:r>
      <w:r w:rsidR="00840075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деятельности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, расширение международных программ 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научных</w:t>
      </w:r>
      <w:r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 стажировок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, меры </w:t>
      </w:r>
      <w:r w:rsidR="00EF7F78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>по популяр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изации науки среди </w:t>
      </w:r>
      <w:r w:rsidR="007B741C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широких </w:t>
      </w:r>
      <w:r w:rsidR="00562554" w:rsidRPr="009F2473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RU"/>
        </w:rPr>
        <w:t xml:space="preserve">слоев населения. </w:t>
      </w:r>
    </w:p>
    <w:p w:rsidR="0091798C" w:rsidRPr="009F2473" w:rsidRDefault="00562554" w:rsidP="00A51993">
      <w:pPr>
        <w:spacing w:after="12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приоритетных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77CD1" w:rsidRPr="009F2473">
        <w:rPr>
          <w:rFonts w:ascii="Times New Roman" w:hAnsi="Times New Roman" w:cs="Times New Roman"/>
          <w:sz w:val="28"/>
          <w:szCs w:val="28"/>
          <w:lang w:val="ru-RU"/>
        </w:rPr>
        <w:t>пилотных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проектов, призванных ускорить формирование евразийской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 w:rsidR="00477CD1" w:rsidRPr="009F2473">
        <w:rPr>
          <w:rFonts w:ascii="Times New Roman" w:hAnsi="Times New Roman" w:cs="Times New Roman"/>
          <w:sz w:val="28"/>
          <w:szCs w:val="28"/>
          <w:lang w:val="ru-RU"/>
        </w:rPr>
        <w:t>инноваций</w:t>
      </w:r>
      <w:r w:rsidRPr="009F247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1798C" w:rsidRPr="009F247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741C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</w:t>
      </w:r>
      <w:r w:rsidR="00354E6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сессии выделили, в том числе,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два направления сотрудничества: </w:t>
      </w:r>
      <w:r w:rsidR="00477CD1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системы опережающего научно-технологического прогнозирования стран ЕАЭС и  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9D2889" w:rsidRPr="009F2473">
        <w:rPr>
          <w:rFonts w:ascii="Times New Roman" w:hAnsi="Times New Roman" w:cs="Times New Roman"/>
          <w:sz w:val="28"/>
          <w:szCs w:val="28"/>
          <w:lang w:val="ru-RU"/>
        </w:rPr>
        <w:t>развитие  межрегионального сотрудничества и кластерной кооперации в ЕАЭС</w:t>
      </w:r>
      <w:r w:rsidR="00840075" w:rsidRPr="009F24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01B" w:rsidRPr="009F2473" w:rsidRDefault="00392ADA" w:rsidP="00A51993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2473"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E310C2" w:rsidRPr="009F2473" w:rsidRDefault="00392ADA" w:rsidP="00A51993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Формирование </w:t>
      </w:r>
      <w:bookmarkStart w:id="2" w:name="_Hlk5892814"/>
      <w:r w:rsidRPr="009F24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системы опережающего научно-технологического прогнозирования стран ЕАЭС</w:t>
      </w:r>
      <w:bookmarkEnd w:id="2"/>
    </w:p>
    <w:p w:rsidR="00C63E48" w:rsidRPr="009F2473" w:rsidRDefault="00C63E48" w:rsidP="00A51993">
      <w:pPr>
        <w:pStyle w:val="a6"/>
        <w:spacing w:before="120" w:after="120" w:line="276" w:lineRule="auto"/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Ускорение темпов научно-технологического прогресса оказывает значительное влияние на развитие экономики и общества. Принципиально новые технологические решения позволяют не только модернизировать производственные процессы, но и меняют саму структуру производства, способствуют формированию новых рынков, активизации сетевых взаимосвязей, в том числе межгосударственных. </w:t>
      </w:r>
    </w:p>
    <w:p w:rsidR="00C63E48" w:rsidRPr="009F2473" w:rsidRDefault="00C63E48" w:rsidP="00A51993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страны ЕАЭС, как и весь мир, сегодня сталкиваются с глобальными вызовами, связанными с появлением новых рынков, продуктов и технологий, интенсификацией перетока знаний, технологий, капитала, человеческих ресурсов между странами. Эти процессы сопровождаются трансформацией ценностей и потребительского спроса, структурными изменениями в экономике, на фоне усложнения геополитической ситуации. Все это предполагает необходимость выработки долгосрочной повестки в сфере науки и технологий, отвечающей комплексности и сложности происходящих процессов.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Успех межрегиональной кооперации в значительной степени зависит от развития научно-технической базы стран ЕАЭС, активизации сложившихся и формирования новых взаимосвязей, позволяющих максимально эффективно использовать научный потенциал стран-партнеров, организации взаимодействия предприятий, научных и образовательных организаций для выбора приоритетов научно технологического сотрудничества.</w:t>
      </w:r>
    </w:p>
    <w:p w:rsidR="00C63E48" w:rsidRPr="009F2473" w:rsidRDefault="00C63E48" w:rsidP="00A51993">
      <w:pPr>
        <w:ind w:firstLine="567"/>
        <w:contextualSpacing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прогнозов научно-технологического развития на основе методологии Форсайта в последние десятилетия стала неотъемлемым элементом научно-технической и инновационной политики в десятках развитых и развивающихся стран. Формирование согласованной системы технологического прогнозирования в ЕАЭС позволит скоординировать деятельность органов управления, научных центров, инновационных предприятий государств-участников, реализовать стратегию взаимовыгодного обмена знаниями, максимального использования потенциала науки на пространстве ЕАЭС для социально-экономического развития и повышения конкурентоспособности экономик ЕАЭС на глобальных рынках.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:rsidR="00C63E48" w:rsidRPr="009F2473" w:rsidRDefault="00C63E48" w:rsidP="00A51993">
      <w:pPr>
        <w:ind w:firstLine="567"/>
        <w:contextualSpacing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lastRenderedPageBreak/>
        <w:t>Участники сессии признают важность тесного взаимодействия органов управления производственных предприятий и научно-академических институтов</w:t>
      </w:r>
      <w:r w:rsidR="00832D21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, в том числе</w:t>
      </w:r>
      <w:r w:rsidR="004115EB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 рамках кластерных подходов к развитию трансграничных экономических проектов, а также необходимость более тесного взаимодействия стран ЕАЭС в академическом сегменте науки.</w:t>
      </w:r>
    </w:p>
    <w:p w:rsidR="00C63E48" w:rsidRPr="009F2473" w:rsidRDefault="00C63E48" w:rsidP="00A51993">
      <w:pPr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Участниками сессии поддерживаются инициативы по созданию и развитию методологических, информационных и организационных основ для формирования платформы научно-технологического прогнозирования на пространстве ЕАЭС.</w:t>
      </w:r>
    </w:p>
    <w:p w:rsidR="00C63E48" w:rsidRPr="009F2473" w:rsidRDefault="00C63E48" w:rsidP="00A51993">
      <w:pPr>
        <w:ind w:firstLine="567"/>
        <w:contextualSpacing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 целях активизации сотрудничества между государствами – членами ЕАЭС участниками сессии рекомендуется совместная проработка инициатив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следующим направлениям.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</w:p>
    <w:p w:rsidR="00C63E48" w:rsidRPr="009F2473" w:rsidRDefault="00C63E48" w:rsidP="00A51993">
      <w:pPr>
        <w:pStyle w:val="a6"/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Разработка проекта Межгосударственной программы прогнозирования научно-технологического развития. Цель Программы – формирование системы опережающего научно-технологического прогнозирования стран ЕАЭС.</w:t>
      </w:r>
    </w:p>
    <w:p w:rsidR="00C63E48" w:rsidRPr="009F2473" w:rsidRDefault="00C63E48" w:rsidP="00A51993">
      <w:pPr>
        <w:pStyle w:val="a6"/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Участниками сессии отмечается важность формирования согласованной системы приоритетов развития науки и технологий на пространстве ЕАЭС, что окажет стимулирующее воздействие на предприятия, научные и образовательные организации, институты развития, организации инфраструктуры.</w:t>
      </w:r>
    </w:p>
    <w:p w:rsidR="00C63E48" w:rsidRPr="009F2473" w:rsidRDefault="00C63E48" w:rsidP="00A51993">
      <w:pPr>
        <w:pStyle w:val="a6"/>
        <w:spacing w:before="120" w:after="12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Формирование в среднесрочной перспективе системы опережающего научно-технологического прогнозирования государств – членов ЕАЭС, позволяющей сф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ормировать скоординированную систему приоритетов научно-технологического сотрудничества.</w:t>
      </w:r>
    </w:p>
    <w:p w:rsidR="00E30BEC" w:rsidRPr="009F2473" w:rsidRDefault="00E30BEC" w:rsidP="00A51993">
      <w:pPr>
        <w:pStyle w:val="a6"/>
        <w:spacing w:line="360" w:lineRule="auto"/>
        <w:ind w:left="0" w:right="96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:rsidR="009F2473" w:rsidRPr="006D51DA" w:rsidRDefault="00392ADA" w:rsidP="006D51DA">
      <w:pPr>
        <w:pStyle w:val="a6"/>
        <w:spacing w:line="360" w:lineRule="auto"/>
        <w:ind w:left="0" w:right="96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***</w:t>
      </w:r>
      <w:bookmarkStart w:id="3" w:name="_Hlk5806234"/>
    </w:p>
    <w:p w:rsidR="00392ADA" w:rsidRPr="009F2473" w:rsidRDefault="00392ADA" w:rsidP="00A51993">
      <w:pPr>
        <w:pStyle w:val="a6"/>
        <w:spacing w:line="240" w:lineRule="auto"/>
        <w:ind w:left="0" w:right="96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Развитие межрегионального сотрудничества и кластерной кооперации в ЕАЭС</w:t>
      </w:r>
    </w:p>
    <w:p w:rsidR="0091798C" w:rsidRPr="009F2473" w:rsidRDefault="0091798C" w:rsidP="00A51993">
      <w:pPr>
        <w:pStyle w:val="a6"/>
        <w:spacing w:line="240" w:lineRule="auto"/>
        <w:ind w:left="0" w:right="96" w:firstLine="567"/>
        <w:jc w:val="center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bookmarkEnd w:id="3"/>
    <w:p w:rsidR="00305F4B" w:rsidRPr="009F2473" w:rsidRDefault="007E3F30" w:rsidP="00A51993">
      <w:pPr>
        <w:pStyle w:val="a6"/>
        <w:spacing w:before="120" w:after="120" w:line="240" w:lineRule="auto"/>
        <w:ind w:left="0" w:firstLine="567"/>
        <w:jc w:val="both"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 условиях усиливающейся глобализации связи между </w:t>
      </w:r>
      <w:r w:rsidR="0091222A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регионами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становятся более важными. </w:t>
      </w:r>
      <w:r w:rsidR="00CC54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Успешная межрегиональная кооперация во многом опирается на локальные точки роста </w:t>
      </w:r>
      <w:r w:rsidR="005E19C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экономик </w:t>
      </w:r>
      <w:r w:rsidR="000F5662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стран</w:t>
      </w:r>
      <w:r w:rsidR="00E937E2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ЕАЭС </w:t>
      </w:r>
      <w:r w:rsidR="000F5662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– кластеры. </w:t>
      </w:r>
      <w:r w:rsidR="000F5054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 свою очередь, с</w:t>
      </w:r>
      <w:r w:rsidR="00B4560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ил</w:t>
      </w:r>
      <w:r w:rsidR="000F5054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у</w:t>
      </w:r>
      <w:r w:rsidR="00B4560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0F5054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отдельных </w:t>
      </w:r>
      <w:r w:rsidR="00B4560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кластер</w:t>
      </w:r>
      <w:r w:rsidR="000F5054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ов </w:t>
      </w:r>
      <w:r w:rsidR="0062640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предопределяют</w:t>
      </w:r>
      <w:r w:rsidR="00B4560C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их участники</w:t>
      </w:r>
      <w:r w:rsidR="0062640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;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305F4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кластеры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не </w:t>
      </w:r>
      <w:r w:rsidR="00305F4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способны к долгосрочному развитию, если </w:t>
      </w:r>
      <w:r w:rsidR="005E19C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входящие в </w:t>
      </w:r>
      <w:r w:rsidR="00305F4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их </w:t>
      </w:r>
      <w:r w:rsidR="005E19C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состав предприятия</w:t>
      </w:r>
      <w:r w:rsidR="00BC6A8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, научные и образовательные организации </w:t>
      </w:r>
      <w:r w:rsidR="00305F4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не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представлены на иностранных рынках и не вовлечены в международный обмен знаниями. </w:t>
      </w:r>
    </w:p>
    <w:p w:rsidR="00E937E2" w:rsidRPr="009F2473" w:rsidRDefault="003A6CC1" w:rsidP="00A51993">
      <w:pPr>
        <w:spacing w:after="120" w:line="240" w:lineRule="auto"/>
        <w:ind w:firstLine="567"/>
        <w:contextualSpacing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Количественный рост кластеров и повышение их конкурентоспособности становится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одним из ключевых факторов экономической динамики ЕАЭС. Кластерная кооперация способна особенно ярко выявить инновационный потенциал регионов</w:t>
      </w:r>
      <w:r w:rsidR="00E53FD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и укреп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ить</w:t>
      </w:r>
      <w:r w:rsidR="00E53FD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региональные производственные цепочки добавленной стоимости для 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дальнейшего </w:t>
      </w:r>
      <w:r w:rsidR="00E53FD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развития кооперационных связей.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Вместе с тем, р</w:t>
      </w:r>
      <w:r w:rsidR="0062640F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егионы и к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ластеры стран – членов </w:t>
      </w: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Союза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сталкиваются с 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однотипными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трудностями при развитии зарубежной кооперации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: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отсутствие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м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знаний о внешних рынках, способах ведения бизнеса в других странах, недостат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ком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финансовых ресурсов</w:t>
      </w:r>
      <w:r w:rsidR="00BB7A74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,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 </w:t>
      </w:r>
      <w:r w:rsidR="00E33557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низкой квалификацией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персонала. Разница в правовом и техническом регулировании, </w:t>
      </w:r>
      <w:r w:rsidR="00425AEB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разрозненность мер поддержки,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слабое представление о потенциальных партнерах, отсутствие идей для совместных проектов, </w:t>
      </w:r>
      <w:r w:rsidR="00E937E2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 xml:space="preserve">недостаточная реализация человеческого потенциала </w:t>
      </w:r>
      <w:r w:rsidR="007E3F30"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также препятствуют развитию активного взаимодействия.</w:t>
      </w:r>
    </w:p>
    <w:p w:rsidR="00E937E2" w:rsidRPr="009F2473" w:rsidRDefault="00E937E2" w:rsidP="00A51993">
      <w:pPr>
        <w:spacing w:after="120" w:line="240" w:lineRule="auto"/>
        <w:ind w:firstLine="567"/>
        <w:contextualSpacing/>
        <w:rPr>
          <w:rFonts w:ascii="Times New Roman" w:eastAsia="Courier New" w:hAnsi="Times New Roman" w:cs="Times New Roman"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sz w:val="28"/>
          <w:szCs w:val="28"/>
          <w:lang w:val="ru-RU"/>
        </w:rPr>
        <w:t>Участники сессии признают важность тесного взаимодействия производственных предприятий и научно-академических институтов в рамках кластерных подходов к развитию трансграничных экономических проектов, а также необходимость более тесного взаимодействия стран ЕАЭС в академическом сегменте науки.</w:t>
      </w:r>
    </w:p>
    <w:p w:rsidR="00E937E2" w:rsidRPr="00CE670D" w:rsidRDefault="00E937E2" w:rsidP="00CE670D">
      <w:pPr>
        <w:spacing w:after="120" w:line="240" w:lineRule="auto"/>
        <w:ind w:firstLine="567"/>
        <w:contextualSpacing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</w:pPr>
      <w:bookmarkStart w:id="4" w:name="_Hlk5806431"/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Участники сессии обращают внимание на важность роли государств-членов ЕАЭС в инновационном развитии кластеров</w:t>
      </w:r>
      <w:r w:rsidR="003A106D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и одновременно </w:t>
      </w:r>
      <w:bookmarkEnd w:id="4"/>
      <w:r w:rsidR="003A106D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подчеркивают, что 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важнейшим стимулом развития кластеров 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остается 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инициати</w:t>
      </w:r>
      <w:r w:rsidR="003C72AF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ва «снизу», в 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связи с чем 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создание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благоприятных условия развития инновационного малого и среднего предпринимательства критически важ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для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успешной реализации кластерных подходов</w:t>
      </w: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86B9F" w:rsidRPr="00CE670D" w:rsidRDefault="00CE670D" w:rsidP="00CE670D">
      <w:pPr>
        <w:spacing w:after="120" w:line="240" w:lineRule="auto"/>
        <w:ind w:firstLine="567"/>
        <w:contextualSpacing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</w:pP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Участниками сессии поддерживаются действующие инициативы регионов стран – членов Союза, которые направлены на формирование инструментов по стимулированию межрегионального и межкластерного сотрудничества. В частности, инициатива Республики Татарстан (Российская Федерация) «Инноскоп», представляющая собой цифровую многопользовательскую площадку для формирования рынка открытых инноваций через оперативное взаимодействие в сфере технологий и инжиниринга. Участники сессии согласны с важностью и необходимостью масштабирования данной инициативы на пространстве Евразийского экономического союза и подключения к работе  «Инноскопа» регионов стран – членов ЕАЭС.</w:t>
      </w:r>
    </w:p>
    <w:p w:rsidR="0027395E" w:rsidRPr="00CE670D" w:rsidRDefault="00BB7A74" w:rsidP="00CE670D">
      <w:pPr>
        <w:pStyle w:val="a6"/>
        <w:spacing w:before="120" w:after="12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</w:pPr>
      <w:r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В целях </w:t>
      </w:r>
      <w:r w:rsidR="007E3F30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усиления сотрудничества между</w:t>
      </w:r>
      <w:r w:rsidR="00673A81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регионами и </w:t>
      </w:r>
      <w:r w:rsidR="007E3F30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кластерами на пространстве Е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АЭС</w:t>
      </w:r>
      <w:r w:rsidR="00673A81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участн</w:t>
      </w:r>
      <w:r w:rsidR="0027395E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ики </w:t>
      </w:r>
      <w:r w:rsidR="00E3355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сессии </w:t>
      </w:r>
      <w:r w:rsidR="00DF25B9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признают важность и необходимость </w:t>
      </w:r>
      <w:r w:rsidR="000F7E7D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совместно</w:t>
      </w:r>
      <w:r w:rsidR="00DF25B9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й</w:t>
      </w:r>
      <w:r w:rsidR="000F7E7D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7395E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п</w:t>
      </w:r>
      <w:r w:rsidR="000D345A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роработ</w:t>
      </w:r>
      <w:r w:rsidR="00DF25B9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ки</w:t>
      </w:r>
      <w:r w:rsidR="00ED0173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21AF7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ряда</w:t>
      </w:r>
      <w:r w:rsidR="0027395E" w:rsidRPr="00CE670D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инициатив</w:t>
      </w:r>
      <w:r w:rsidR="00421AF7"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следующим</w:t>
      </w:r>
      <w:r w:rsidR="00E937E2"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конкретным проектам</w:t>
      </w:r>
      <w:r w:rsidR="003A106D"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:rsidR="00BF21E0" w:rsidRPr="009F2473" w:rsidRDefault="002A2514" w:rsidP="00CE670D">
      <w:pPr>
        <w:pStyle w:val="a6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0F7E7D"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63439" w:rsidRPr="00CE6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Разработка проекта 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ежгосударственн</w:t>
      </w:r>
      <w:r w:rsidR="0006343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06343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поддержки кооперационных цепочек в кластерах</w:t>
      </w:r>
      <w:r w:rsidR="00D6730E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264C7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C264C7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рограммы – развитие международных кооперационных промышленных цепочек. </w:t>
      </w:r>
      <w:r w:rsidR="00B8517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Участники сессии </w:t>
      </w:r>
      <w:r w:rsidR="00FC012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признают важность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012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согласованной 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</w:t>
      </w:r>
      <w:r w:rsidR="00FC012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стимулов и мер поддержки 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участников от предприятий, научных и образовательных организаций, институтов развития, организаций инфраструктуры из стран </w:t>
      </w:r>
      <w:r w:rsidR="00683C5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Союза</w:t>
      </w:r>
      <w:r w:rsidR="004B54C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готовых интегрироваться в существующие и возникающие кластеры на пространстве ЕАЭС. </w:t>
      </w:r>
    </w:p>
    <w:p w:rsidR="002C34D9" w:rsidRPr="009F2473" w:rsidRDefault="00E77C90" w:rsidP="00A51993">
      <w:pPr>
        <w:pStyle w:val="a6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32463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73DD0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Подготовка структуры</w:t>
      </w:r>
      <w:r w:rsidR="0006343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32463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латформ</w:t>
      </w:r>
      <w:r w:rsidR="00983E18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умной специализации регионов стран – участниц ЕАЭС.</w:t>
      </w:r>
      <w:r w:rsidR="00C32463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012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C012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латформы – оказание информационной, методологической и экспертной поддержки региональным органам власти, их подведомственным учреждениям, организациям промышленной и инновационной инфраструктуры в процессе вовлечения в совместные кооперационные проекты на пространстве ЕАЭС. </w:t>
      </w:r>
      <w:r w:rsidR="00B8517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Участники сессии </w:t>
      </w:r>
      <w:r w:rsidR="0016312A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признают, что П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16312A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атформа по умной специализации должна представля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 собой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0565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наднационального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уровня, задающ</w:t>
      </w:r>
      <w:r w:rsidR="0070565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</w:t>
      </w:r>
      <w:r w:rsidR="002C34D9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общие требования для выбора регионами приоритетов своего развития в сфере НТИ и обеспечивающая их обоснованную сопоставимость. </w:t>
      </w:r>
    </w:p>
    <w:p w:rsidR="00B85174" w:rsidRPr="009F2473" w:rsidRDefault="00730C61" w:rsidP="00A51993">
      <w:pPr>
        <w:pStyle w:val="a6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r w:rsidR="00D13BC6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</w:t>
      </w:r>
      <w:r w:rsidR="00A73DD0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образа 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</w:t>
      </w:r>
      <w:r w:rsidR="00D13BC6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</w:t>
      </w:r>
      <w:r w:rsidR="00B8517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кластеров Е</w:t>
      </w:r>
      <w:r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АЭС.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 Карты – создание механизма для </w:t>
      </w:r>
      <w:r w:rsidR="00B30A3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интерактивного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взаимодействия между кластерами ЕАЭС</w:t>
      </w:r>
      <w:r w:rsidR="00B30A3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открытой и актуальной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базы данных кластеров </w:t>
      </w:r>
      <w:r w:rsidR="00B30A3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пространстве Евразийского экономического союза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85174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Участники </w:t>
      </w:r>
      <w:r w:rsidR="00B30A35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признают, что К</w:t>
      </w:r>
      <w:r w:rsidR="004D14D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арта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позволит сформировать </w:t>
      </w:r>
      <w:r w:rsidR="000232AC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более </w:t>
      </w:r>
      <w:r w:rsidR="008719B1" w:rsidRPr="009F24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полное представление о кластерах стран – участниц ЕАЭС, что важно для развития согласованных мер политики в макрорегионе. Кроме того, карта создаст возможность соотнесения кластеров друг с другом и откроет доступ к существующим лучшим практикам, что станет стимулом для повышения уровня их развития. </w:t>
      </w:r>
    </w:p>
    <w:p w:rsidR="00F02255" w:rsidRPr="009F2473" w:rsidRDefault="00F02255" w:rsidP="004969AD">
      <w:pPr>
        <w:pStyle w:val="a6"/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798C" w:rsidRPr="009F2473" w:rsidRDefault="00F02255" w:rsidP="003C72AF">
      <w:pPr>
        <w:pStyle w:val="a6"/>
        <w:spacing w:line="360" w:lineRule="auto"/>
        <w:ind w:left="0" w:right="96"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  <w:r w:rsidRPr="009F2473">
        <w:rPr>
          <w:rFonts w:ascii="Times New Roman" w:eastAsia="Courier New" w:hAnsi="Times New Roman" w:cs="Times New Roman"/>
          <w:b/>
          <w:sz w:val="28"/>
          <w:szCs w:val="28"/>
          <w:lang w:val="ru-RU"/>
        </w:rPr>
        <w:t>***</w:t>
      </w:r>
    </w:p>
    <w:p w:rsidR="0091798C" w:rsidRPr="00CE670D" w:rsidRDefault="0091798C" w:rsidP="00CE670D">
      <w:pPr>
        <w:spacing w:line="360" w:lineRule="auto"/>
        <w:ind w:right="96"/>
        <w:rPr>
          <w:rFonts w:ascii="Times New Roman" w:eastAsia="Courier New" w:hAnsi="Times New Roman" w:cs="Times New Roman"/>
          <w:b/>
          <w:sz w:val="28"/>
          <w:szCs w:val="28"/>
          <w:lang w:val="ru-RU"/>
        </w:rPr>
      </w:pPr>
    </w:p>
    <w:p w:rsidR="0091798C" w:rsidRPr="00CE670D" w:rsidRDefault="009F2473" w:rsidP="00CE670D">
      <w:pPr>
        <w:pStyle w:val="a6"/>
        <w:spacing w:after="0" w:line="240" w:lineRule="auto"/>
        <w:ind w:left="0" w:right="96"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CE670D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 xml:space="preserve">Будем признательны за </w:t>
      </w:r>
      <w:r w:rsidR="0091798C" w:rsidRPr="00CE670D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до</w:t>
      </w:r>
      <w:r w:rsidRPr="00CE670D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полнения к данному меморандуму</w:t>
      </w:r>
      <w:r w:rsidR="0091798C" w:rsidRPr="00CE670D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 xml:space="preserve">! </w:t>
      </w:r>
    </w:p>
    <w:p w:rsidR="0091798C" w:rsidRPr="00CE670D" w:rsidRDefault="0091798C" w:rsidP="004969AD">
      <w:pPr>
        <w:pStyle w:val="a6"/>
        <w:spacing w:line="360" w:lineRule="auto"/>
        <w:ind w:left="0" w:right="96" w:firstLine="709"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</w:p>
    <w:p w:rsidR="00F02255" w:rsidRPr="00CE670D" w:rsidRDefault="00F02255" w:rsidP="00C37B34">
      <w:pPr>
        <w:pStyle w:val="a6"/>
        <w:spacing w:line="360" w:lineRule="auto"/>
        <w:ind w:left="0" w:right="96"/>
        <w:jc w:val="center"/>
        <w:rPr>
          <w:rFonts w:ascii="Times New Roman" w:eastAsia="Courier New" w:hAnsi="Times New Roman" w:cs="Times New Roman"/>
          <w:b/>
          <w:sz w:val="24"/>
          <w:szCs w:val="24"/>
          <w:lang w:val="ru-RU"/>
        </w:rPr>
      </w:pPr>
      <w:r w:rsidRPr="00CE670D">
        <w:rPr>
          <w:rFonts w:ascii="Times New Roman" w:eastAsia="Courier New" w:hAnsi="Times New Roman" w:cs="Times New Roman"/>
          <w:b/>
          <w:sz w:val="24"/>
          <w:szCs w:val="24"/>
          <w:lang w:val="ru-RU"/>
        </w:rPr>
        <w:t>Контактная информация</w:t>
      </w:r>
    </w:p>
    <w:p w:rsidR="00F40FF6" w:rsidRPr="00CE670D" w:rsidRDefault="00F02255" w:rsidP="0091798C">
      <w:pPr>
        <w:pStyle w:val="a6"/>
        <w:spacing w:after="0" w:line="240" w:lineRule="auto"/>
        <w:ind w:left="0" w:right="96"/>
        <w:jc w:val="center"/>
        <w:rPr>
          <w:rFonts w:ascii="Times New Roman" w:eastAsia="Courier New" w:hAnsi="Times New Roman" w:cs="Times New Roman"/>
          <w:i/>
          <w:sz w:val="24"/>
          <w:szCs w:val="24"/>
          <w:lang w:val="ru-RU"/>
        </w:rPr>
      </w:pPr>
      <w:r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 xml:space="preserve">Центр компетенций по взаимодействию </w:t>
      </w:r>
    </w:p>
    <w:p w:rsidR="0091798C" w:rsidRPr="00CE670D" w:rsidRDefault="00F02255" w:rsidP="0091798C">
      <w:pPr>
        <w:pStyle w:val="a6"/>
        <w:spacing w:after="0" w:line="240" w:lineRule="auto"/>
        <w:ind w:left="0" w:right="96"/>
        <w:jc w:val="center"/>
        <w:rPr>
          <w:rFonts w:ascii="Times New Roman" w:eastAsia="Courier New" w:hAnsi="Times New Roman" w:cs="Times New Roman"/>
          <w:i/>
          <w:sz w:val="24"/>
          <w:szCs w:val="24"/>
          <w:lang w:val="ru-RU"/>
        </w:rPr>
      </w:pPr>
      <w:r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>с международными организациями</w:t>
      </w:r>
      <w:r w:rsidR="00F40FF6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 xml:space="preserve"> </w:t>
      </w:r>
      <w:r w:rsidR="0091798C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>Института статистиче</w:t>
      </w:r>
      <w:r w:rsidR="009F2473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 xml:space="preserve">ских исследований и экономики </w:t>
      </w:r>
      <w:r w:rsidR="0091798C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 xml:space="preserve">знаний </w:t>
      </w:r>
      <w:r w:rsidR="00F40FF6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>Н</w:t>
      </w:r>
      <w:r w:rsidR="0091798C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>ациональный исследовательский университет «Высшая   школа   экономики»</w:t>
      </w:r>
    </w:p>
    <w:p w:rsidR="00E63309" w:rsidRPr="00CE670D" w:rsidRDefault="00A65DC6" w:rsidP="0091798C">
      <w:pPr>
        <w:pStyle w:val="a6"/>
        <w:spacing w:line="360" w:lineRule="auto"/>
        <w:ind w:left="0" w:right="96"/>
        <w:jc w:val="center"/>
        <w:rPr>
          <w:rFonts w:ascii="Times New Roman" w:eastAsia="Courier New" w:hAnsi="Times New Roman" w:cs="Times New Roman"/>
          <w:i/>
          <w:sz w:val="24"/>
          <w:szCs w:val="24"/>
          <w:lang w:val="ru-RU"/>
        </w:rPr>
      </w:pPr>
      <w:hyperlink r:id="rId8" w:history="1"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</w:rPr>
          <w:t>https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  <w:lang w:val="ru-RU"/>
          </w:rPr>
          <w:t>://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</w:rPr>
          <w:t>oecdcentre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</w:rPr>
          <w:t>hse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</w:rPr>
          <w:t>ru</w:t>
        </w:r>
        <w:r w:rsidR="00E63309" w:rsidRPr="00CE670D">
          <w:rPr>
            <w:rStyle w:val="af"/>
            <w:rFonts w:ascii="Times New Roman" w:hAnsi="Times New Roman" w:cs="Times New Roman"/>
            <w:i/>
            <w:sz w:val="24"/>
            <w:szCs w:val="24"/>
            <w:lang w:val="ru-RU"/>
          </w:rPr>
          <w:t>/</w:t>
        </w:r>
      </w:hyperlink>
    </w:p>
    <w:p w:rsidR="00D27B8F" w:rsidRPr="00CE670D" w:rsidRDefault="00D27B8F" w:rsidP="0091798C">
      <w:pPr>
        <w:pStyle w:val="a6"/>
        <w:spacing w:line="360" w:lineRule="auto"/>
        <w:ind w:left="0" w:right="96"/>
        <w:jc w:val="center"/>
        <w:rPr>
          <w:rFonts w:ascii="Times New Roman" w:eastAsia="Courier New" w:hAnsi="Times New Roman" w:cs="Times New Roman"/>
          <w:i/>
          <w:sz w:val="24"/>
          <w:szCs w:val="24"/>
          <w:lang w:val="ru-RU"/>
        </w:rPr>
      </w:pPr>
      <w:r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>Директор Центра – Мешкова Т</w:t>
      </w:r>
      <w:r w:rsidR="0091798C" w:rsidRPr="00CE670D">
        <w:rPr>
          <w:rFonts w:ascii="Times New Roman" w:eastAsia="Courier New" w:hAnsi="Times New Roman" w:cs="Times New Roman"/>
          <w:i/>
          <w:sz w:val="24"/>
          <w:szCs w:val="24"/>
          <w:lang w:val="ru-RU"/>
        </w:rPr>
        <w:t xml:space="preserve">атьяна  Анатольевна </w:t>
      </w:r>
    </w:p>
    <w:p w:rsidR="00D27B8F" w:rsidRPr="00CE670D" w:rsidRDefault="00D27B8F" w:rsidP="0091798C">
      <w:pPr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E670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Тел</w:t>
      </w:r>
      <w:r w:rsidR="00E63309" w:rsidRPr="00CE67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.: +79859604154</w:t>
      </w:r>
    </w:p>
    <w:p w:rsidR="00D27B8F" w:rsidRPr="00CE670D" w:rsidRDefault="00D27B8F" w:rsidP="0091798C">
      <w:pPr>
        <w:shd w:val="clear" w:color="auto" w:fill="FFFFFF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E670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E-mail: meshkova@hse.ru</w:t>
      </w:r>
    </w:p>
    <w:sectPr w:rsidR="00D27B8F" w:rsidRPr="00CE670D" w:rsidSect="009F2473">
      <w:footerReference w:type="default" r:id="rId9"/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53" w:rsidRDefault="00991653" w:rsidP="004B54C5">
      <w:pPr>
        <w:spacing w:before="0" w:line="240" w:lineRule="auto"/>
      </w:pPr>
      <w:r>
        <w:separator/>
      </w:r>
    </w:p>
  </w:endnote>
  <w:endnote w:type="continuationSeparator" w:id="0">
    <w:p w:rsidR="00991653" w:rsidRDefault="00991653" w:rsidP="004B54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8324"/>
      <w:docPartObj>
        <w:docPartGallery w:val="Page Numbers (Bottom of Page)"/>
        <w:docPartUnique/>
      </w:docPartObj>
    </w:sdtPr>
    <w:sdtEndPr/>
    <w:sdtContent>
      <w:p w:rsidR="003A106D" w:rsidRDefault="003A10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C6" w:rsidRPr="00A65DC6">
          <w:rPr>
            <w:noProof/>
            <w:lang w:val="ru-RU"/>
          </w:rPr>
          <w:t>1</w:t>
        </w:r>
        <w:r>
          <w:fldChar w:fldCharType="end"/>
        </w:r>
      </w:p>
    </w:sdtContent>
  </w:sdt>
  <w:p w:rsidR="003A106D" w:rsidRDefault="003A10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53" w:rsidRDefault="00991653" w:rsidP="004B54C5">
      <w:pPr>
        <w:spacing w:before="0" w:line="240" w:lineRule="auto"/>
      </w:pPr>
      <w:r>
        <w:separator/>
      </w:r>
    </w:p>
  </w:footnote>
  <w:footnote w:type="continuationSeparator" w:id="0">
    <w:p w:rsidR="00991653" w:rsidRDefault="00991653" w:rsidP="004B54C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2E"/>
    <w:multiLevelType w:val="hybridMultilevel"/>
    <w:tmpl w:val="D78A763A"/>
    <w:lvl w:ilvl="0" w:tplc="67E0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E69F4"/>
    <w:multiLevelType w:val="hybridMultilevel"/>
    <w:tmpl w:val="1868C49A"/>
    <w:lvl w:ilvl="0" w:tplc="5AFA80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642C1A"/>
    <w:multiLevelType w:val="hybridMultilevel"/>
    <w:tmpl w:val="F6F825EA"/>
    <w:lvl w:ilvl="0" w:tplc="4ED2401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1B721A04"/>
    <w:multiLevelType w:val="hybridMultilevel"/>
    <w:tmpl w:val="956241BC"/>
    <w:lvl w:ilvl="0" w:tplc="9AC2B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73228A"/>
    <w:multiLevelType w:val="hybridMultilevel"/>
    <w:tmpl w:val="E2D20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2A1852"/>
    <w:multiLevelType w:val="hybridMultilevel"/>
    <w:tmpl w:val="4D541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3B6F6D"/>
    <w:multiLevelType w:val="hybridMultilevel"/>
    <w:tmpl w:val="FF2A8276"/>
    <w:lvl w:ilvl="0" w:tplc="6584F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0D4123"/>
    <w:multiLevelType w:val="hybridMultilevel"/>
    <w:tmpl w:val="1D687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A72336"/>
    <w:multiLevelType w:val="hybridMultilevel"/>
    <w:tmpl w:val="F0209A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C94F3D"/>
    <w:multiLevelType w:val="hybridMultilevel"/>
    <w:tmpl w:val="203A9C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254571"/>
    <w:multiLevelType w:val="hybridMultilevel"/>
    <w:tmpl w:val="9E9C70FE"/>
    <w:lvl w:ilvl="0" w:tplc="59E0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0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6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0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C3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1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142A7B"/>
    <w:multiLevelType w:val="hybridMultilevel"/>
    <w:tmpl w:val="E604AF18"/>
    <w:lvl w:ilvl="0" w:tplc="757C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4"/>
    <w:rsid w:val="00003D9D"/>
    <w:rsid w:val="0001326F"/>
    <w:rsid w:val="000157DE"/>
    <w:rsid w:val="000232AC"/>
    <w:rsid w:val="00060E9F"/>
    <w:rsid w:val="00063439"/>
    <w:rsid w:val="000D345A"/>
    <w:rsid w:val="000F0751"/>
    <w:rsid w:val="000F5054"/>
    <w:rsid w:val="000F5662"/>
    <w:rsid w:val="000F7E7D"/>
    <w:rsid w:val="001228C4"/>
    <w:rsid w:val="001419FB"/>
    <w:rsid w:val="0016312A"/>
    <w:rsid w:val="00171AED"/>
    <w:rsid w:val="001C241A"/>
    <w:rsid w:val="00262D64"/>
    <w:rsid w:val="0027395E"/>
    <w:rsid w:val="002745C0"/>
    <w:rsid w:val="00277E91"/>
    <w:rsid w:val="002A2514"/>
    <w:rsid w:val="002A580C"/>
    <w:rsid w:val="002B50CC"/>
    <w:rsid w:val="002C34D9"/>
    <w:rsid w:val="00305F4B"/>
    <w:rsid w:val="00354E69"/>
    <w:rsid w:val="00356DAA"/>
    <w:rsid w:val="00366098"/>
    <w:rsid w:val="00383731"/>
    <w:rsid w:val="00392ADA"/>
    <w:rsid w:val="003A106D"/>
    <w:rsid w:val="003A6CC1"/>
    <w:rsid w:val="003C72AF"/>
    <w:rsid w:val="004115EB"/>
    <w:rsid w:val="00421AF7"/>
    <w:rsid w:val="00425AEB"/>
    <w:rsid w:val="00457200"/>
    <w:rsid w:val="00473706"/>
    <w:rsid w:val="00476097"/>
    <w:rsid w:val="00477CD1"/>
    <w:rsid w:val="004870BF"/>
    <w:rsid w:val="004969AD"/>
    <w:rsid w:val="004A5C86"/>
    <w:rsid w:val="004B54C5"/>
    <w:rsid w:val="004C6A40"/>
    <w:rsid w:val="004D14D1"/>
    <w:rsid w:val="004D3521"/>
    <w:rsid w:val="0050300C"/>
    <w:rsid w:val="005577B5"/>
    <w:rsid w:val="00562554"/>
    <w:rsid w:val="00580BCA"/>
    <w:rsid w:val="00587434"/>
    <w:rsid w:val="005E19C7"/>
    <w:rsid w:val="005F28BF"/>
    <w:rsid w:val="0062640F"/>
    <w:rsid w:val="00673A81"/>
    <w:rsid w:val="0068254D"/>
    <w:rsid w:val="00683C55"/>
    <w:rsid w:val="006A34CB"/>
    <w:rsid w:val="006C18A8"/>
    <w:rsid w:val="006D51DA"/>
    <w:rsid w:val="006F7278"/>
    <w:rsid w:val="00703176"/>
    <w:rsid w:val="00703341"/>
    <w:rsid w:val="00705654"/>
    <w:rsid w:val="00707B71"/>
    <w:rsid w:val="00730C61"/>
    <w:rsid w:val="00731B1D"/>
    <w:rsid w:val="007672EA"/>
    <w:rsid w:val="00770E9A"/>
    <w:rsid w:val="007B741C"/>
    <w:rsid w:val="007C6811"/>
    <w:rsid w:val="007E3F30"/>
    <w:rsid w:val="007F0F92"/>
    <w:rsid w:val="00821550"/>
    <w:rsid w:val="00832D21"/>
    <w:rsid w:val="00840075"/>
    <w:rsid w:val="008719B1"/>
    <w:rsid w:val="00874B5A"/>
    <w:rsid w:val="00895BFB"/>
    <w:rsid w:val="008B0AF9"/>
    <w:rsid w:val="008D5C8D"/>
    <w:rsid w:val="008F7CF2"/>
    <w:rsid w:val="0091222A"/>
    <w:rsid w:val="0091798C"/>
    <w:rsid w:val="00937B58"/>
    <w:rsid w:val="009432E1"/>
    <w:rsid w:val="00947F8F"/>
    <w:rsid w:val="009542E9"/>
    <w:rsid w:val="00983E18"/>
    <w:rsid w:val="00991653"/>
    <w:rsid w:val="009C196D"/>
    <w:rsid w:val="009D2889"/>
    <w:rsid w:val="009F2473"/>
    <w:rsid w:val="00A446E7"/>
    <w:rsid w:val="00A51993"/>
    <w:rsid w:val="00A53512"/>
    <w:rsid w:val="00A5453E"/>
    <w:rsid w:val="00A62064"/>
    <w:rsid w:val="00A65DC6"/>
    <w:rsid w:val="00A73DD0"/>
    <w:rsid w:val="00AA2D27"/>
    <w:rsid w:val="00AD099F"/>
    <w:rsid w:val="00AF172E"/>
    <w:rsid w:val="00B30A35"/>
    <w:rsid w:val="00B4215C"/>
    <w:rsid w:val="00B4560C"/>
    <w:rsid w:val="00B61007"/>
    <w:rsid w:val="00B85174"/>
    <w:rsid w:val="00B944E7"/>
    <w:rsid w:val="00BB51DF"/>
    <w:rsid w:val="00BB7A74"/>
    <w:rsid w:val="00BC6A8F"/>
    <w:rsid w:val="00BD1CCD"/>
    <w:rsid w:val="00BD5B37"/>
    <w:rsid w:val="00BF21E0"/>
    <w:rsid w:val="00C264C7"/>
    <w:rsid w:val="00C32463"/>
    <w:rsid w:val="00C37B34"/>
    <w:rsid w:val="00C5470F"/>
    <w:rsid w:val="00C55220"/>
    <w:rsid w:val="00C6043D"/>
    <w:rsid w:val="00C63E48"/>
    <w:rsid w:val="00C95024"/>
    <w:rsid w:val="00CC5457"/>
    <w:rsid w:val="00CE670D"/>
    <w:rsid w:val="00D13248"/>
    <w:rsid w:val="00D13BC6"/>
    <w:rsid w:val="00D240A3"/>
    <w:rsid w:val="00D27B8F"/>
    <w:rsid w:val="00D348F1"/>
    <w:rsid w:val="00D47C03"/>
    <w:rsid w:val="00D6730E"/>
    <w:rsid w:val="00D75C79"/>
    <w:rsid w:val="00DD2C4F"/>
    <w:rsid w:val="00DD6CC6"/>
    <w:rsid w:val="00DF25B9"/>
    <w:rsid w:val="00DF4A9C"/>
    <w:rsid w:val="00E11F05"/>
    <w:rsid w:val="00E25ECF"/>
    <w:rsid w:val="00E30BEC"/>
    <w:rsid w:val="00E310C2"/>
    <w:rsid w:val="00E33557"/>
    <w:rsid w:val="00E53FDF"/>
    <w:rsid w:val="00E63309"/>
    <w:rsid w:val="00E74C61"/>
    <w:rsid w:val="00E77C90"/>
    <w:rsid w:val="00E84703"/>
    <w:rsid w:val="00E86B9F"/>
    <w:rsid w:val="00E937E2"/>
    <w:rsid w:val="00E95E84"/>
    <w:rsid w:val="00ED0173"/>
    <w:rsid w:val="00EE6245"/>
    <w:rsid w:val="00EF7F78"/>
    <w:rsid w:val="00F02255"/>
    <w:rsid w:val="00F1201B"/>
    <w:rsid w:val="00F40FF6"/>
    <w:rsid w:val="00F43311"/>
    <w:rsid w:val="00F7406A"/>
    <w:rsid w:val="00F74FF7"/>
    <w:rsid w:val="00F760AE"/>
    <w:rsid w:val="00FC0121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DD2C4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,ft,Знак1 Знак1"/>
    <w:basedOn w:val="a"/>
    <w:link w:val="a4"/>
    <w:uiPriority w:val="99"/>
    <w:unhideWhenUsed/>
    <w:rsid w:val="004B54C5"/>
    <w:pPr>
      <w:spacing w:before="0" w:line="240" w:lineRule="auto"/>
      <w:jc w:val="left"/>
    </w:pPr>
    <w:rPr>
      <w:sz w:val="20"/>
      <w:szCs w:val="20"/>
      <w:lang w:val="ru-RU"/>
    </w:rPr>
  </w:style>
  <w:style w:type="character" w:customStyle="1" w:styleId="a4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,ft Знак"/>
    <w:basedOn w:val="a0"/>
    <w:link w:val="a3"/>
    <w:uiPriority w:val="99"/>
    <w:rsid w:val="004B54C5"/>
    <w:rPr>
      <w:sz w:val="20"/>
      <w:szCs w:val="20"/>
      <w:lang w:val="ru-RU"/>
    </w:rPr>
  </w:style>
  <w:style w:type="character" w:styleId="a5">
    <w:name w:val="footnote reference"/>
    <w:aliases w:val="Знак сноски-FN,16 Point,Superscript 6 Point,Footnote Reference Number,Footnote Reference_LVL6,Footnote Reference_LVL61,Footnote Reference_LVL62,Footnote Reference_LVL63,Footnote Reference_LVL64,Referencia nota al pie,Ciae niinee-FN,f,fr"/>
    <w:basedOn w:val="a0"/>
    <w:uiPriority w:val="99"/>
    <w:unhideWhenUsed/>
    <w:rsid w:val="004B54C5"/>
    <w:rPr>
      <w:vertAlign w:val="superscript"/>
    </w:rPr>
  </w:style>
  <w:style w:type="paragraph" w:styleId="a6">
    <w:name w:val="List Paragraph"/>
    <w:aliases w:val="маркированный,Text,RUS List,Noise heading,Heading 3i"/>
    <w:basedOn w:val="a"/>
    <w:link w:val="a7"/>
    <w:uiPriority w:val="34"/>
    <w:qFormat/>
    <w:rsid w:val="007E3F30"/>
    <w:pPr>
      <w:spacing w:before="0" w:after="160" w:line="259" w:lineRule="auto"/>
      <w:ind w:left="720"/>
      <w:contextualSpacing/>
      <w:jc w:val="left"/>
    </w:pPr>
    <w:rPr>
      <w:lang w:val="en-US"/>
    </w:rPr>
  </w:style>
  <w:style w:type="character" w:customStyle="1" w:styleId="a7">
    <w:name w:val="Абзац списка Знак"/>
    <w:aliases w:val="маркированный Знак,Text Знак,RUS List Знак,Noise heading Знак,Heading 3i Знак"/>
    <w:link w:val="a6"/>
    <w:uiPriority w:val="34"/>
    <w:locked/>
    <w:rsid w:val="007E3F30"/>
  </w:style>
  <w:style w:type="paragraph" w:styleId="a8">
    <w:name w:val="Balloon Text"/>
    <w:basedOn w:val="a"/>
    <w:link w:val="a9"/>
    <w:uiPriority w:val="99"/>
    <w:semiHidden/>
    <w:unhideWhenUsed/>
    <w:rsid w:val="00B851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174"/>
    <w:rPr>
      <w:rFonts w:ascii="Segoe UI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D2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F760AE"/>
    <w:rPr>
      <w:i/>
      <w:iCs/>
    </w:rPr>
  </w:style>
  <w:style w:type="paragraph" w:styleId="ab">
    <w:name w:val="header"/>
    <w:basedOn w:val="a"/>
    <w:link w:val="ac"/>
    <w:uiPriority w:val="99"/>
    <w:unhideWhenUsed/>
    <w:rsid w:val="003A106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106D"/>
    <w:rPr>
      <w:lang w:val="en-GB"/>
    </w:rPr>
  </w:style>
  <w:style w:type="paragraph" w:styleId="ad">
    <w:name w:val="footer"/>
    <w:basedOn w:val="a"/>
    <w:link w:val="ae"/>
    <w:uiPriority w:val="99"/>
    <w:unhideWhenUsed/>
    <w:rsid w:val="003A106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06D"/>
    <w:rPr>
      <w:lang w:val="en-GB"/>
    </w:rPr>
  </w:style>
  <w:style w:type="character" w:styleId="af">
    <w:name w:val="Hyperlink"/>
    <w:basedOn w:val="a0"/>
    <w:uiPriority w:val="99"/>
    <w:semiHidden/>
    <w:unhideWhenUsed/>
    <w:rsid w:val="00E63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DD2C4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,ft,Знак1 Знак1"/>
    <w:basedOn w:val="a"/>
    <w:link w:val="a4"/>
    <w:uiPriority w:val="99"/>
    <w:unhideWhenUsed/>
    <w:rsid w:val="004B54C5"/>
    <w:pPr>
      <w:spacing w:before="0" w:line="240" w:lineRule="auto"/>
      <w:jc w:val="left"/>
    </w:pPr>
    <w:rPr>
      <w:sz w:val="20"/>
      <w:szCs w:val="20"/>
      <w:lang w:val="ru-RU"/>
    </w:rPr>
  </w:style>
  <w:style w:type="character" w:customStyle="1" w:styleId="a4">
    <w:name w:val="Текст сноски Знак"/>
    <w:aliases w:val="single space Знак,Текст сноски-FN Знак,Footnote text Знак,Schriftart: 9 pt Знак,Schriftart: 10 pt Знак,Schriftart: 8 pt Знак,Podrozdział Знак,Footnote Знак,o Знак,Footnote Text Char Знак Знак Знак,Footnote Text Char Знак Знак1,ft Знак"/>
    <w:basedOn w:val="a0"/>
    <w:link w:val="a3"/>
    <w:uiPriority w:val="99"/>
    <w:rsid w:val="004B54C5"/>
    <w:rPr>
      <w:sz w:val="20"/>
      <w:szCs w:val="20"/>
      <w:lang w:val="ru-RU"/>
    </w:rPr>
  </w:style>
  <w:style w:type="character" w:styleId="a5">
    <w:name w:val="footnote reference"/>
    <w:aliases w:val="Знак сноски-FN,16 Point,Superscript 6 Point,Footnote Reference Number,Footnote Reference_LVL6,Footnote Reference_LVL61,Footnote Reference_LVL62,Footnote Reference_LVL63,Footnote Reference_LVL64,Referencia nota al pie,Ciae niinee-FN,f,fr"/>
    <w:basedOn w:val="a0"/>
    <w:uiPriority w:val="99"/>
    <w:unhideWhenUsed/>
    <w:rsid w:val="004B54C5"/>
    <w:rPr>
      <w:vertAlign w:val="superscript"/>
    </w:rPr>
  </w:style>
  <w:style w:type="paragraph" w:styleId="a6">
    <w:name w:val="List Paragraph"/>
    <w:aliases w:val="маркированный,Text,RUS List,Noise heading,Heading 3i"/>
    <w:basedOn w:val="a"/>
    <w:link w:val="a7"/>
    <w:uiPriority w:val="34"/>
    <w:qFormat/>
    <w:rsid w:val="007E3F30"/>
    <w:pPr>
      <w:spacing w:before="0" w:after="160" w:line="259" w:lineRule="auto"/>
      <w:ind w:left="720"/>
      <w:contextualSpacing/>
      <w:jc w:val="left"/>
    </w:pPr>
    <w:rPr>
      <w:lang w:val="en-US"/>
    </w:rPr>
  </w:style>
  <w:style w:type="character" w:customStyle="1" w:styleId="a7">
    <w:name w:val="Абзац списка Знак"/>
    <w:aliases w:val="маркированный Знак,Text Знак,RUS List Знак,Noise heading Знак,Heading 3i Знак"/>
    <w:link w:val="a6"/>
    <w:uiPriority w:val="34"/>
    <w:locked/>
    <w:rsid w:val="007E3F30"/>
  </w:style>
  <w:style w:type="paragraph" w:styleId="a8">
    <w:name w:val="Balloon Text"/>
    <w:basedOn w:val="a"/>
    <w:link w:val="a9"/>
    <w:uiPriority w:val="99"/>
    <w:semiHidden/>
    <w:unhideWhenUsed/>
    <w:rsid w:val="00B8517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174"/>
    <w:rPr>
      <w:rFonts w:ascii="Segoe UI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DD2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F760AE"/>
    <w:rPr>
      <w:i/>
      <w:iCs/>
    </w:rPr>
  </w:style>
  <w:style w:type="paragraph" w:styleId="ab">
    <w:name w:val="header"/>
    <w:basedOn w:val="a"/>
    <w:link w:val="ac"/>
    <w:uiPriority w:val="99"/>
    <w:unhideWhenUsed/>
    <w:rsid w:val="003A106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106D"/>
    <w:rPr>
      <w:lang w:val="en-GB"/>
    </w:rPr>
  </w:style>
  <w:style w:type="paragraph" w:styleId="ad">
    <w:name w:val="footer"/>
    <w:basedOn w:val="a"/>
    <w:link w:val="ae"/>
    <w:uiPriority w:val="99"/>
    <w:unhideWhenUsed/>
    <w:rsid w:val="003A106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106D"/>
    <w:rPr>
      <w:lang w:val="en-GB"/>
    </w:rPr>
  </w:style>
  <w:style w:type="character" w:styleId="af">
    <w:name w:val="Hyperlink"/>
    <w:basedOn w:val="a0"/>
    <w:uiPriority w:val="99"/>
    <w:semiHidden/>
    <w:unhideWhenUsed/>
    <w:rsid w:val="00E63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3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cdcentre.h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3093</Words>
  <Characters>17633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2019-04-11T16:38:00Z</cp:lastPrinted>
  <dcterms:created xsi:type="dcterms:W3CDTF">2019-04-17T11:30:00Z</dcterms:created>
  <dcterms:modified xsi:type="dcterms:W3CDTF">2019-04-17T11:30:00Z</dcterms:modified>
</cp:coreProperties>
</file>